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4998"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7120"/>
      </w:tblGrid>
      <w:tr w14:paraId="3175D0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34" w:hRule="atLeast"/>
        </w:trPr>
        <w:tc>
          <w:tcPr>
            <w:tcW w:w="821" w:type="pct"/>
            <w:tcBorders>
              <w:top w:val="single" w:color="auto" w:sz="8" w:space="0"/>
              <w:bottom w:val="single" w:color="auto" w:sz="8" w:space="0"/>
            </w:tcBorders>
            <w:vAlign w:val="center"/>
          </w:tcPr>
          <w:p w14:paraId="3FBBC177">
            <w:pPr>
              <w:spacing w:line="300" w:lineRule="auto"/>
              <w:jc w:val="center"/>
              <w:rPr>
                <w:rFonts w:hint="eastAsia" w:ascii="宋体" w:hAnsi="宋体"/>
                <w:bCs/>
                <w:color w:val="000000"/>
                <w:sz w:val="28"/>
                <w:szCs w:val="28"/>
              </w:rPr>
            </w:pPr>
            <w:r>
              <w:rPr>
                <w:rFonts w:hint="eastAsia" w:ascii="宋体" w:hAnsi="宋体"/>
                <w:b/>
                <w:bCs w:val="0"/>
                <w:color w:val="000000"/>
                <w:sz w:val="28"/>
                <w:szCs w:val="28"/>
              </w:rPr>
              <w:t>序号</w:t>
            </w:r>
          </w:p>
        </w:tc>
        <w:tc>
          <w:tcPr>
            <w:tcW w:w="4178" w:type="pct"/>
            <w:tcBorders>
              <w:top w:val="single" w:color="auto" w:sz="8" w:space="0"/>
              <w:bottom w:val="single" w:color="auto" w:sz="8" w:space="0"/>
            </w:tcBorders>
            <w:vAlign w:val="center"/>
          </w:tcPr>
          <w:p w14:paraId="4E12B9F2">
            <w:pPr>
              <w:spacing w:line="300" w:lineRule="auto"/>
              <w:jc w:val="center"/>
              <w:rPr>
                <w:rFonts w:hint="eastAsia" w:ascii="宋体" w:hAnsi="宋体" w:cs="Arial"/>
                <w:bCs/>
                <w:color w:val="000000"/>
                <w:sz w:val="28"/>
                <w:szCs w:val="28"/>
              </w:rPr>
            </w:pPr>
            <w:r>
              <w:rPr>
                <w:rFonts w:hint="eastAsia" w:ascii="Times New Roman" w:hAnsi="Times New Roman" w:eastAsia="宋体" w:cs="Times New Roman"/>
                <w:b/>
                <w:bCs w:val="0"/>
                <w:sz w:val="28"/>
                <w:szCs w:val="28"/>
                <w:lang w:eastAsia="zh-CN"/>
              </w:rPr>
              <w:t>开展广西特色产业相关碳足迹核算的</w:t>
            </w:r>
            <w:r>
              <w:rPr>
                <w:rFonts w:hint="eastAsia" w:ascii="Times New Roman" w:hAnsi="Times New Roman" w:eastAsia="宋体" w:cs="Times New Roman"/>
                <w:b/>
                <w:bCs w:val="0"/>
                <w:sz w:val="28"/>
                <w:szCs w:val="28"/>
              </w:rPr>
              <w:t>技术服务需求表</w:t>
            </w:r>
          </w:p>
        </w:tc>
      </w:tr>
      <w:tr w14:paraId="2B49A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3" w:hRule="atLeast"/>
        </w:trPr>
        <w:tc>
          <w:tcPr>
            <w:tcW w:w="821" w:type="pct"/>
            <w:tcBorders>
              <w:top w:val="single" w:color="auto" w:sz="8" w:space="0"/>
              <w:bottom w:val="single" w:color="auto" w:sz="8" w:space="0"/>
            </w:tcBorders>
            <w:vAlign w:val="center"/>
          </w:tcPr>
          <w:p w14:paraId="472EBB8B">
            <w:pPr>
              <w:spacing w:line="300" w:lineRule="auto"/>
              <w:rPr>
                <w:rFonts w:ascii="宋体" w:hAnsi="宋体"/>
                <w:b/>
                <w:bCs/>
                <w:color w:val="000000"/>
                <w:sz w:val="28"/>
                <w:szCs w:val="28"/>
              </w:rPr>
            </w:pPr>
            <w:r>
              <w:rPr>
                <w:rFonts w:hint="eastAsia" w:ascii="宋体" w:hAnsi="宋体"/>
                <w:color w:val="000000"/>
                <w:sz w:val="28"/>
                <w:szCs w:val="28"/>
              </w:rPr>
              <w:t>1</w:t>
            </w:r>
            <w:r>
              <w:rPr>
                <w:rFonts w:hint="eastAsia" w:ascii="宋体" w:hAnsi="宋体"/>
                <w:color w:val="000000"/>
                <w:sz w:val="28"/>
                <w:szCs w:val="28"/>
                <w:lang w:eastAsia="zh-CN"/>
              </w:rPr>
              <w:t>.</w:t>
            </w:r>
            <w:r>
              <w:rPr>
                <w:rFonts w:hint="eastAsia" w:ascii="宋体" w:hAnsi="宋体"/>
                <w:b/>
                <w:bCs/>
                <w:color w:val="000000"/>
                <w:sz w:val="28"/>
                <w:szCs w:val="28"/>
              </w:rPr>
              <w:t>项目技术需求</w:t>
            </w:r>
          </w:p>
          <w:p w14:paraId="137A2EB6">
            <w:pPr>
              <w:spacing w:line="300" w:lineRule="auto"/>
              <w:jc w:val="center"/>
              <w:rPr>
                <w:rFonts w:hint="eastAsia" w:ascii="宋体" w:hAnsi="宋体" w:eastAsiaTheme="minorEastAsia"/>
                <w:color w:val="000000"/>
                <w:sz w:val="28"/>
                <w:szCs w:val="28"/>
                <w:lang w:eastAsia="zh-CN"/>
              </w:rPr>
            </w:pPr>
          </w:p>
        </w:tc>
        <w:tc>
          <w:tcPr>
            <w:tcW w:w="4178" w:type="pct"/>
            <w:tcBorders>
              <w:top w:val="single" w:color="auto" w:sz="8" w:space="0"/>
              <w:bottom w:val="single" w:color="auto" w:sz="8" w:space="0"/>
            </w:tcBorders>
            <w:vAlign w:val="center"/>
          </w:tcPr>
          <w:p w14:paraId="4B4FB1E1">
            <w:pPr>
              <w:spacing w:line="300" w:lineRule="auto"/>
              <w:rPr>
                <w:rFonts w:ascii="宋体" w:hAnsi="宋体"/>
                <w:color w:val="000000"/>
                <w:sz w:val="28"/>
                <w:szCs w:val="28"/>
              </w:rPr>
            </w:pPr>
            <w:r>
              <w:rPr>
                <w:rFonts w:hint="eastAsia" w:ascii="宋体" w:hAnsi="宋体"/>
                <w:color w:val="000000"/>
                <w:sz w:val="28"/>
                <w:szCs w:val="28"/>
              </w:rPr>
              <w:t>针对六堡茶、蔗糖、新能源汽车三大特色产业逐一开展碳足迹核算，参考国内外已发布的产品种类规则及技术规范，精准识别产品全生命周期碳排放重点环节，调研收集关键实景数据，合理选取碳排放因子，科学开展“一产品一足迹”的碳足迹核算及认证工作。</w:t>
            </w:r>
          </w:p>
          <w:p w14:paraId="22A8FF33">
            <w:pPr>
              <w:spacing w:line="300" w:lineRule="auto"/>
              <w:rPr>
                <w:rFonts w:ascii="宋体" w:hAnsi="宋体"/>
                <w:color w:val="000000"/>
                <w:sz w:val="28"/>
                <w:szCs w:val="28"/>
              </w:rPr>
            </w:pPr>
            <w:r>
              <w:rPr>
                <w:rFonts w:hint="eastAsia" w:ascii="宋体" w:hAnsi="宋体"/>
                <w:color w:val="000000"/>
                <w:sz w:val="28"/>
                <w:szCs w:val="28"/>
              </w:rPr>
              <w:t>（一）组建核算团队</w:t>
            </w:r>
          </w:p>
          <w:p w14:paraId="0BDD1F57">
            <w:pPr>
              <w:spacing w:line="300" w:lineRule="auto"/>
              <w:rPr>
                <w:rFonts w:ascii="宋体" w:hAnsi="宋体"/>
                <w:color w:val="000000"/>
                <w:sz w:val="28"/>
                <w:szCs w:val="28"/>
              </w:rPr>
            </w:pPr>
            <w:r>
              <w:rPr>
                <w:rFonts w:hint="eastAsia" w:ascii="宋体" w:hAnsi="宋体"/>
                <w:color w:val="000000"/>
                <w:sz w:val="28"/>
                <w:szCs w:val="28"/>
              </w:rPr>
              <w:t>供应商应根据核算产品所属行业、工艺流程及数据归集任务安排，配备相关专家，组建专业化产品碳足迹核算团队。团队项目负责人应具备高级工程师技术职称，根据企业及产品所属行业组建实施团队。为保证服在规定的服务期限内完成本项目采购需求内容，供应商应配备足够的专业技术人员专职为本项目服务。</w:t>
            </w:r>
          </w:p>
          <w:p w14:paraId="2C5E2BF4">
            <w:pPr>
              <w:spacing w:line="300" w:lineRule="auto"/>
              <w:rPr>
                <w:rFonts w:ascii="宋体" w:hAnsi="宋体"/>
                <w:color w:val="000000"/>
                <w:sz w:val="28"/>
                <w:szCs w:val="28"/>
              </w:rPr>
            </w:pPr>
            <w:r>
              <w:rPr>
                <w:rFonts w:hint="eastAsia" w:ascii="宋体" w:hAnsi="宋体"/>
                <w:color w:val="000000"/>
                <w:sz w:val="28"/>
                <w:szCs w:val="28"/>
              </w:rPr>
              <w:t>（二）编制工作计划</w:t>
            </w:r>
          </w:p>
          <w:p w14:paraId="1D5CBD44">
            <w:pPr>
              <w:spacing w:line="300" w:lineRule="auto"/>
              <w:rPr>
                <w:rFonts w:ascii="宋体" w:hAnsi="宋体"/>
                <w:color w:val="000000"/>
                <w:sz w:val="28"/>
                <w:szCs w:val="28"/>
              </w:rPr>
            </w:pPr>
            <w:r>
              <w:rPr>
                <w:rFonts w:hint="eastAsia" w:ascii="宋体" w:hAnsi="宋体"/>
                <w:color w:val="000000"/>
                <w:sz w:val="28"/>
                <w:szCs w:val="28"/>
              </w:rPr>
              <w:t>供应商应根据项目要求，结合行业情况，编制产品碳足迹数据归集工作计划，明确碳足迹核算的主要任务、人员分工及进度要求。工作计划应当与企业以及采购单位充分沟通后实施。</w:t>
            </w:r>
          </w:p>
          <w:p w14:paraId="38D8F0A5">
            <w:pPr>
              <w:spacing w:line="300" w:lineRule="auto"/>
              <w:rPr>
                <w:rFonts w:ascii="宋体" w:hAnsi="宋体"/>
                <w:color w:val="000000"/>
                <w:sz w:val="28"/>
                <w:szCs w:val="28"/>
              </w:rPr>
            </w:pPr>
            <w:r>
              <w:rPr>
                <w:rFonts w:hint="eastAsia" w:ascii="宋体" w:hAnsi="宋体"/>
                <w:color w:val="000000"/>
                <w:sz w:val="28"/>
                <w:szCs w:val="28"/>
              </w:rPr>
              <w:t>（三）组织现场调研</w:t>
            </w:r>
          </w:p>
          <w:p w14:paraId="54946FC0">
            <w:pPr>
              <w:spacing w:line="300" w:lineRule="auto"/>
              <w:rPr>
                <w:rFonts w:ascii="宋体" w:hAnsi="宋体"/>
                <w:color w:val="000000"/>
                <w:sz w:val="28"/>
                <w:szCs w:val="28"/>
              </w:rPr>
            </w:pPr>
            <w:r>
              <w:rPr>
                <w:rFonts w:hint="eastAsia" w:ascii="宋体" w:hAnsi="宋体"/>
                <w:color w:val="000000"/>
                <w:sz w:val="28"/>
                <w:szCs w:val="28"/>
              </w:rPr>
              <w:t>供应商应根据行业特点，甄选代表企业（包含小、中、大三类），并赴企业开展数据调研工作，了解企业产品特点和生产流程等重要内容，根据企业实际需求选取相应国际或国内碳足迹核算标准，合理界定核算范围，形成碳足迹核算数据收集清单并对上下游关键实景数据进行收集，确保数据结果与实际情况的符合性。</w:t>
            </w:r>
          </w:p>
          <w:p w14:paraId="0C4FBB87">
            <w:pPr>
              <w:spacing w:line="300" w:lineRule="auto"/>
              <w:rPr>
                <w:rFonts w:ascii="宋体" w:hAnsi="宋体"/>
                <w:color w:val="000000"/>
                <w:sz w:val="28"/>
                <w:szCs w:val="28"/>
              </w:rPr>
            </w:pPr>
            <w:r>
              <w:rPr>
                <w:rFonts w:hint="eastAsia" w:ascii="宋体" w:hAnsi="宋体"/>
                <w:color w:val="000000"/>
                <w:sz w:val="28"/>
                <w:szCs w:val="28"/>
              </w:rPr>
              <w:t>（四）选取碳排放因子</w:t>
            </w:r>
          </w:p>
          <w:p w14:paraId="02544AC4">
            <w:pPr>
              <w:spacing w:line="300" w:lineRule="auto"/>
              <w:rPr>
                <w:rFonts w:ascii="宋体" w:hAnsi="宋体"/>
                <w:color w:val="000000"/>
                <w:sz w:val="28"/>
                <w:szCs w:val="28"/>
              </w:rPr>
            </w:pPr>
            <w:r>
              <w:rPr>
                <w:rFonts w:hint="eastAsia" w:ascii="宋体" w:hAnsi="宋体"/>
                <w:color w:val="000000"/>
                <w:sz w:val="28"/>
                <w:szCs w:val="28"/>
              </w:rPr>
              <w:t>供应商应开展本地化排放因子研究，辅以Ecoinvent（最新版本）或中国生命周期数据库（CLCD），并与当地研究院、协会等充分沟通确认因子的合理性。</w:t>
            </w:r>
          </w:p>
          <w:p w14:paraId="0E909255">
            <w:pPr>
              <w:spacing w:line="300" w:lineRule="auto"/>
              <w:rPr>
                <w:rFonts w:ascii="宋体" w:hAnsi="宋体"/>
                <w:color w:val="000000"/>
                <w:sz w:val="28"/>
                <w:szCs w:val="28"/>
              </w:rPr>
            </w:pPr>
            <w:r>
              <w:rPr>
                <w:rFonts w:hint="eastAsia" w:ascii="宋体" w:hAnsi="宋体"/>
                <w:color w:val="000000"/>
                <w:sz w:val="28"/>
                <w:szCs w:val="28"/>
              </w:rPr>
              <w:t>（五）开展足迹核算</w:t>
            </w:r>
          </w:p>
          <w:p w14:paraId="4C6C5C3B">
            <w:pPr>
              <w:spacing w:line="300" w:lineRule="auto"/>
              <w:rPr>
                <w:rFonts w:ascii="宋体" w:hAnsi="宋体"/>
                <w:color w:val="000000"/>
                <w:sz w:val="28"/>
                <w:szCs w:val="28"/>
              </w:rPr>
            </w:pPr>
            <w:r>
              <w:rPr>
                <w:rFonts w:hint="eastAsia" w:ascii="宋体" w:hAnsi="宋体"/>
                <w:color w:val="000000"/>
                <w:sz w:val="28"/>
                <w:szCs w:val="28"/>
              </w:rPr>
              <w:t>供应商应当基于现场调研及数据收资结果，依据国外内数据归集质量要求，开展产品模型搭建、活动数据填报、LCA结果核算、数据质量评价、降碳诊断分析、核算报告出具等数据归集工作。主要包含以下内容及数据质量要求：</w:t>
            </w:r>
          </w:p>
          <w:p w14:paraId="13AE3F8A">
            <w:pPr>
              <w:spacing w:line="300" w:lineRule="auto"/>
              <w:rPr>
                <w:rFonts w:ascii="宋体" w:hAnsi="宋体"/>
                <w:color w:val="000000"/>
                <w:sz w:val="28"/>
                <w:szCs w:val="28"/>
              </w:rPr>
            </w:pPr>
            <w:r>
              <w:rPr>
                <w:rFonts w:hint="eastAsia" w:ascii="宋体" w:hAnsi="宋体"/>
                <w:color w:val="000000"/>
                <w:sz w:val="28"/>
                <w:szCs w:val="28"/>
              </w:rPr>
              <w:t>(1)产品模型搭建。根据企业实际需求和产品特点选择适用的产品类别规则(PCR)，并根据企业工艺生产及供应链现状，进行产品关键原材料识别。最终完成企业需报送产品从摇篮到大门/摇篮到坟墓的生命周期建模工作。</w:t>
            </w:r>
          </w:p>
          <w:p w14:paraId="21BB6E21">
            <w:pPr>
              <w:spacing w:line="300" w:lineRule="auto"/>
              <w:rPr>
                <w:rFonts w:ascii="宋体" w:hAnsi="宋体"/>
                <w:color w:val="000000"/>
                <w:sz w:val="28"/>
                <w:szCs w:val="28"/>
              </w:rPr>
            </w:pPr>
            <w:r>
              <w:rPr>
                <w:rFonts w:hint="eastAsia" w:ascii="宋体" w:hAnsi="宋体"/>
                <w:color w:val="000000"/>
                <w:sz w:val="28"/>
                <w:szCs w:val="28"/>
              </w:rPr>
              <w:t>其中，材料(废弃)回收过程的建模应该根据不同PCR的要求，选择不同的处理方式，包括“cut-off规则”“开环回收”“闭环回收”“循环足迹公式CFF”等，根据实际情况对复杂系统边界进行定义并对环境负荷进行分配。</w:t>
            </w:r>
          </w:p>
          <w:p w14:paraId="2DFB4418">
            <w:pPr>
              <w:spacing w:line="300" w:lineRule="auto"/>
              <w:rPr>
                <w:rFonts w:ascii="宋体" w:hAnsi="宋体"/>
                <w:color w:val="000000"/>
                <w:sz w:val="28"/>
                <w:szCs w:val="28"/>
              </w:rPr>
            </w:pPr>
            <w:r>
              <w:rPr>
                <w:rFonts w:hint="eastAsia" w:ascii="宋体" w:hAnsi="宋体"/>
                <w:color w:val="000000"/>
                <w:sz w:val="28"/>
                <w:szCs w:val="28"/>
              </w:rPr>
              <w:t>(2)活动数据填报。供应商应在其构建的产品碳足迹模型下开展对应产品的活动水平数据填报。对共用生产线、多产品输出、监测表计限制等场景应合理进行数据分配，针对关键原材料应补充供货商/采购商等基本信息。</w:t>
            </w:r>
          </w:p>
          <w:p w14:paraId="76244C05">
            <w:pPr>
              <w:spacing w:line="300" w:lineRule="auto"/>
              <w:rPr>
                <w:rFonts w:ascii="宋体" w:hAnsi="宋体"/>
                <w:color w:val="000000"/>
                <w:sz w:val="28"/>
                <w:szCs w:val="28"/>
              </w:rPr>
            </w:pPr>
            <w:r>
              <w:rPr>
                <w:rFonts w:hint="eastAsia" w:ascii="宋体" w:hAnsi="宋体"/>
                <w:color w:val="000000"/>
                <w:sz w:val="28"/>
                <w:szCs w:val="28"/>
              </w:rPr>
              <w:t>(3)LCA结果核算。供应商应根据其所填报的产品活动水平数据，基于产品碳足迹采信场景要求，选择对应的影响评价方法及评价指标开展产品碳足迹结果核算。</w:t>
            </w:r>
          </w:p>
          <w:p w14:paraId="57FB0E4F">
            <w:pPr>
              <w:spacing w:line="300" w:lineRule="auto"/>
              <w:rPr>
                <w:rFonts w:ascii="宋体" w:hAnsi="宋体"/>
                <w:color w:val="000000"/>
                <w:sz w:val="28"/>
                <w:szCs w:val="28"/>
              </w:rPr>
            </w:pPr>
            <w:r>
              <w:rPr>
                <w:rFonts w:hint="eastAsia" w:ascii="宋体" w:hAnsi="宋体"/>
                <w:color w:val="000000"/>
                <w:sz w:val="28"/>
                <w:szCs w:val="28"/>
              </w:rPr>
              <w:t>(4)数据质量评价。供应商应对碳足迹核算结果进行数据质量评估分析，根据产品所选取产品种类规则(PCR)匹配不同规则的数据质量评价方法，供应商应根据其填报的数据属性进行时间代表性、地理代表性、技术代表性等维度的质量分析，最终出具数据质量等级DQR评价，所得产品的数据质量等级应满足采购方数据归集质量要求。</w:t>
            </w:r>
          </w:p>
          <w:p w14:paraId="6414944D">
            <w:pPr>
              <w:spacing w:line="300" w:lineRule="auto"/>
              <w:rPr>
                <w:rFonts w:ascii="宋体" w:hAnsi="宋体"/>
                <w:color w:val="000000"/>
                <w:sz w:val="28"/>
                <w:szCs w:val="28"/>
              </w:rPr>
            </w:pPr>
            <w:r>
              <w:rPr>
                <w:rFonts w:hint="eastAsia" w:ascii="宋体" w:hAnsi="宋体"/>
                <w:color w:val="000000"/>
                <w:sz w:val="28"/>
                <w:szCs w:val="28"/>
              </w:rPr>
              <w:t>（六）编制核算报告</w:t>
            </w:r>
          </w:p>
          <w:p w14:paraId="35F1D50A">
            <w:pPr>
              <w:spacing w:line="300" w:lineRule="auto"/>
              <w:rPr>
                <w:rFonts w:ascii="宋体" w:hAnsi="宋体"/>
                <w:color w:val="000000"/>
                <w:sz w:val="28"/>
                <w:szCs w:val="28"/>
              </w:rPr>
            </w:pPr>
            <w:r>
              <w:rPr>
                <w:rFonts w:hint="eastAsia" w:ascii="宋体" w:hAnsi="宋体"/>
                <w:color w:val="000000"/>
                <w:sz w:val="28"/>
                <w:szCs w:val="28"/>
              </w:rPr>
              <w:t>基于模型计算结果，供应商出具产品碳足迹核算报告，详细报告产品碳足迹所有相关内容，报告要满足《产品碳足迹标识认证通用实施规则（试行）》、《温室气体 产品碳足迹 量化要求和指南》等文件的相关要求。</w:t>
            </w:r>
          </w:p>
          <w:p w14:paraId="273966F9">
            <w:pPr>
              <w:spacing w:line="300" w:lineRule="auto"/>
              <w:rPr>
                <w:rFonts w:ascii="宋体" w:hAnsi="宋体"/>
                <w:color w:val="000000"/>
                <w:sz w:val="28"/>
                <w:szCs w:val="28"/>
              </w:rPr>
            </w:pPr>
            <w:r>
              <w:rPr>
                <w:rFonts w:hint="eastAsia" w:ascii="宋体" w:hAnsi="宋体"/>
                <w:color w:val="000000"/>
                <w:sz w:val="28"/>
                <w:szCs w:val="28"/>
              </w:rPr>
              <w:t>（七）碳足迹认证</w:t>
            </w:r>
          </w:p>
          <w:p w14:paraId="121D7854">
            <w:pPr>
              <w:spacing w:line="300" w:lineRule="auto"/>
              <w:rPr>
                <w:rFonts w:ascii="宋体" w:hAnsi="宋体"/>
                <w:color w:val="000000"/>
                <w:sz w:val="28"/>
                <w:szCs w:val="28"/>
              </w:rPr>
            </w:pPr>
            <w:r>
              <w:rPr>
                <w:rFonts w:hint="eastAsia" w:ascii="宋体" w:hAnsi="宋体"/>
                <w:color w:val="000000"/>
                <w:sz w:val="28"/>
                <w:szCs w:val="28"/>
              </w:rPr>
              <w:t>供应商应选择认监委发布的试点名单中的认证机构，并报采购方同意后，配合认证机构开展产品碳足迹评价或认证工作。最终确保获得评价或认证证书。</w:t>
            </w:r>
          </w:p>
          <w:p w14:paraId="37DB10B7">
            <w:pPr>
              <w:spacing w:line="300" w:lineRule="auto"/>
              <w:rPr>
                <w:rFonts w:ascii="宋体" w:hAnsi="宋体"/>
                <w:color w:val="000000"/>
                <w:sz w:val="28"/>
                <w:szCs w:val="28"/>
              </w:rPr>
            </w:pPr>
            <w:r>
              <w:rPr>
                <w:rFonts w:hint="eastAsia" w:ascii="宋体" w:hAnsi="宋体"/>
                <w:color w:val="000000"/>
                <w:sz w:val="28"/>
                <w:szCs w:val="28"/>
              </w:rPr>
              <w:t>（八）设计碳标签</w:t>
            </w:r>
          </w:p>
          <w:p w14:paraId="2D2A213A">
            <w:pPr>
              <w:spacing w:line="300" w:lineRule="auto"/>
              <w:rPr>
                <w:rFonts w:hint="eastAsia" w:ascii="宋体" w:hAnsi="宋体"/>
                <w:color w:val="000000"/>
                <w:sz w:val="28"/>
                <w:szCs w:val="28"/>
              </w:rPr>
            </w:pPr>
            <w:r>
              <w:rPr>
                <w:rFonts w:hint="eastAsia" w:ascii="宋体" w:hAnsi="宋体"/>
                <w:color w:val="000000"/>
                <w:sz w:val="28"/>
                <w:szCs w:val="28"/>
              </w:rPr>
              <w:t>供应商需基于《产品碳足迹标识认证通用实施规则（试行）》中对产品碳足迹标识的要求，设计产品碳标签，展示产品的碳足迹结果，并能够呈现产品生产制造过程的减排行动及对应的减排量。</w:t>
            </w:r>
          </w:p>
        </w:tc>
      </w:tr>
      <w:tr w14:paraId="30126A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3" w:hRule="atLeast"/>
        </w:trPr>
        <w:tc>
          <w:tcPr>
            <w:tcW w:w="821" w:type="pct"/>
            <w:tcBorders>
              <w:top w:val="single" w:color="auto" w:sz="8" w:space="0"/>
              <w:bottom w:val="single" w:color="auto" w:sz="8" w:space="0"/>
            </w:tcBorders>
            <w:vAlign w:val="center"/>
          </w:tcPr>
          <w:p w14:paraId="1F9DFF5B">
            <w:pPr>
              <w:spacing w:line="300" w:lineRule="auto"/>
              <w:rPr>
                <w:rFonts w:hint="default" w:ascii="宋体" w:hAnsi="宋体" w:eastAsiaTheme="minorEastAsia"/>
                <w:color w:val="000000"/>
                <w:sz w:val="28"/>
                <w:szCs w:val="28"/>
                <w:lang w:val="en-US" w:eastAsia="zh-CN"/>
              </w:rPr>
            </w:pPr>
            <w:r>
              <w:rPr>
                <w:rFonts w:hint="eastAsia" w:ascii="宋体" w:hAnsi="宋体"/>
                <w:b/>
                <w:bCs/>
                <w:color w:val="000000"/>
                <w:sz w:val="28"/>
                <w:szCs w:val="28"/>
                <w:lang w:val="en-US" w:eastAsia="zh-CN"/>
              </w:rPr>
              <w:t>2.服务期限要求</w:t>
            </w:r>
          </w:p>
        </w:tc>
        <w:tc>
          <w:tcPr>
            <w:tcW w:w="4178" w:type="pct"/>
            <w:tcBorders>
              <w:top w:val="single" w:color="auto" w:sz="8" w:space="0"/>
              <w:bottom w:val="single" w:color="auto" w:sz="8" w:space="0"/>
            </w:tcBorders>
            <w:vAlign w:val="center"/>
          </w:tcPr>
          <w:p w14:paraId="571F2E36">
            <w:pPr>
              <w:spacing w:line="300" w:lineRule="auto"/>
              <w:rPr>
                <w:rFonts w:hint="default" w:ascii="宋体" w:hAnsi="宋体" w:eastAsiaTheme="minorEastAsia"/>
                <w:color w:val="000000"/>
                <w:sz w:val="28"/>
                <w:szCs w:val="28"/>
                <w:lang w:val="en-US" w:eastAsia="zh-CN"/>
              </w:rPr>
            </w:pPr>
            <w:r>
              <w:rPr>
                <w:rFonts w:hint="eastAsia" w:ascii="宋体" w:hAnsi="宋体"/>
                <w:color w:val="000000"/>
                <w:sz w:val="28"/>
                <w:szCs w:val="28"/>
                <w:lang w:val="en-US" w:eastAsia="zh-CN"/>
              </w:rPr>
              <w:t>2025年12月20日前完成。</w:t>
            </w:r>
          </w:p>
        </w:tc>
      </w:tr>
      <w:tr w14:paraId="05705C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3" w:hRule="atLeast"/>
        </w:trPr>
        <w:tc>
          <w:tcPr>
            <w:tcW w:w="821" w:type="pct"/>
            <w:tcBorders>
              <w:top w:val="single" w:color="auto" w:sz="8" w:space="0"/>
              <w:bottom w:val="single" w:color="auto" w:sz="8" w:space="0"/>
            </w:tcBorders>
            <w:vAlign w:val="center"/>
          </w:tcPr>
          <w:p w14:paraId="655B4C53">
            <w:pPr>
              <w:spacing w:line="300" w:lineRule="auto"/>
              <w:rPr>
                <w:rFonts w:hint="default" w:ascii="宋体" w:hAnsi="宋体"/>
                <w:b/>
                <w:bCs/>
                <w:color w:val="000000"/>
                <w:sz w:val="28"/>
                <w:szCs w:val="28"/>
                <w:lang w:val="en-US" w:eastAsia="zh-CN"/>
              </w:rPr>
            </w:pPr>
            <w:r>
              <w:rPr>
                <w:rFonts w:hint="eastAsia" w:ascii="宋体" w:hAnsi="宋体"/>
                <w:b/>
                <w:bCs/>
                <w:color w:val="000000"/>
                <w:sz w:val="28"/>
                <w:szCs w:val="28"/>
                <w:lang w:val="en-US" w:eastAsia="zh-CN"/>
              </w:rPr>
              <w:t>3.资质要求</w:t>
            </w:r>
          </w:p>
        </w:tc>
        <w:tc>
          <w:tcPr>
            <w:tcW w:w="4178" w:type="pct"/>
            <w:tcBorders>
              <w:top w:val="single" w:color="auto" w:sz="8" w:space="0"/>
              <w:bottom w:val="single" w:color="auto" w:sz="8" w:space="0"/>
            </w:tcBorders>
            <w:vAlign w:val="center"/>
          </w:tcPr>
          <w:p w14:paraId="334C9EB6">
            <w:pPr>
              <w:spacing w:line="300" w:lineRule="auto"/>
              <w:rPr>
                <w:rFonts w:hint="eastAsia" w:ascii="宋体" w:hAnsi="宋体"/>
                <w:color w:val="000000"/>
                <w:sz w:val="28"/>
                <w:szCs w:val="28"/>
                <w:lang w:eastAsia="zh-CN"/>
              </w:rPr>
            </w:pPr>
            <w:r>
              <w:rPr>
                <w:rFonts w:hint="eastAsia" w:ascii="宋体" w:hAnsi="宋体"/>
                <w:color w:val="000000"/>
                <w:sz w:val="28"/>
                <w:szCs w:val="28"/>
              </w:rPr>
              <w:t>1.参与本项目的</w:t>
            </w:r>
            <w:r>
              <w:rPr>
                <w:rFonts w:hint="eastAsia" w:ascii="宋体" w:hAnsi="宋体"/>
                <w:color w:val="000000"/>
                <w:sz w:val="28"/>
                <w:szCs w:val="28"/>
                <w:lang w:eastAsia="zh-CN"/>
              </w:rPr>
              <w:t>报价</w:t>
            </w:r>
            <w:r>
              <w:rPr>
                <w:rFonts w:hint="eastAsia" w:ascii="宋体" w:hAnsi="宋体"/>
                <w:color w:val="000000"/>
                <w:sz w:val="28"/>
                <w:szCs w:val="28"/>
              </w:rPr>
              <w:t>单位应当至少具有一项农产品或新能源相关产品的碳足迹核算业绩</w:t>
            </w:r>
            <w:r>
              <w:rPr>
                <w:rFonts w:hint="eastAsia" w:ascii="宋体" w:hAnsi="宋体"/>
                <w:color w:val="000000"/>
                <w:sz w:val="28"/>
                <w:szCs w:val="28"/>
                <w:lang w:eastAsia="zh-CN"/>
              </w:rPr>
              <w:t>；</w:t>
            </w:r>
            <w:bookmarkStart w:id="0" w:name="_GoBack"/>
            <w:bookmarkEnd w:id="0"/>
          </w:p>
          <w:p w14:paraId="70F9E63B">
            <w:pPr>
              <w:spacing w:line="300" w:lineRule="auto"/>
              <w:rPr>
                <w:rFonts w:hint="eastAsia" w:ascii="宋体" w:hAnsi="宋体"/>
                <w:color w:val="000000"/>
                <w:sz w:val="28"/>
                <w:szCs w:val="28"/>
                <w:lang w:val="en-US" w:eastAsia="zh-CN"/>
              </w:rPr>
            </w:pPr>
            <w:r>
              <w:rPr>
                <w:rFonts w:hint="eastAsia" w:ascii="宋体" w:hAnsi="宋体"/>
                <w:color w:val="000000"/>
                <w:sz w:val="28"/>
                <w:szCs w:val="28"/>
                <w:lang w:val="en-US" w:eastAsia="zh-CN"/>
              </w:rPr>
              <w:t>2</w:t>
            </w:r>
            <w:r>
              <w:rPr>
                <w:rFonts w:hint="eastAsia" w:ascii="宋体" w:hAnsi="宋体"/>
                <w:color w:val="000000"/>
                <w:sz w:val="28"/>
                <w:szCs w:val="28"/>
                <w:lang w:eastAsia="zh"/>
              </w:rPr>
              <w:t>.参与本项目的</w:t>
            </w:r>
            <w:r>
              <w:rPr>
                <w:rFonts w:hint="eastAsia" w:ascii="宋体" w:hAnsi="宋体"/>
                <w:color w:val="000000"/>
                <w:sz w:val="28"/>
                <w:szCs w:val="28"/>
                <w:lang w:eastAsia="zh-CN"/>
              </w:rPr>
              <w:t>报价</w:t>
            </w:r>
            <w:r>
              <w:rPr>
                <w:rFonts w:hint="eastAsia" w:ascii="宋体" w:hAnsi="宋体"/>
                <w:color w:val="000000"/>
                <w:sz w:val="28"/>
                <w:szCs w:val="28"/>
                <w:lang w:eastAsia="zh"/>
              </w:rPr>
              <w:t>单位拟派项目负责人应当具备低碳相关专业高级及以上专业职称。</w:t>
            </w:r>
          </w:p>
        </w:tc>
      </w:tr>
    </w:tbl>
    <w:p w14:paraId="215784B3"/>
    <w:p w14:paraId="4508B7C1"/>
    <w:p w14:paraId="60120CB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3A2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2025-09-11T03:06:24Z</dcterms:created>
  <dc:creator>Administrator</dc:creator>
  <cp:lastModifiedBy>您的好友已上线</cp:lastModifiedBy>
  <dcterms:modified xsi:type="dcterms:W3CDTF">2025-09-11T03:40:21Z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eyJoZGlkIjoiODliNTVhYzdhOWIyZjYzZDZmZjIwMGFmMGI1YmMwYTIiLCJ1c2VySWQiOiIyODg3NDQ1MzAifQ==</vt:lpwstr>
  </property>
  <property fmtid="{D5CDD505-2E9C-101B-9397-08002B2CF9AE}" pid="4" name="ICV">
    <vt:lpwstr>BA941A0279CA42F299295872274FC8D8_12</vt:lpwstr>
  </property>
</Properties>
</file>